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EBF" w:rsidRDefault="00CC6EBF" w:rsidP="00CC6EBF">
      <w:pPr>
        <w:pBdr>
          <w:bottom w:val="single" w:sz="12" w:space="0" w:color="00B381"/>
        </w:pBdr>
        <w:spacing w:before="300" w:after="225" w:line="240" w:lineRule="auto"/>
        <w:outlineLvl w:val="0"/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</w:pPr>
      <w:r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 xml:space="preserve">                                            </w:t>
      </w:r>
      <w:r w:rsidRPr="00CC6EBF">
        <w:rPr>
          <w:rFonts w:eastAsia="Times New Roman" w:cstheme="minorHAnsi"/>
          <w:b/>
          <w:bCs/>
          <w:i/>
          <w:kern w:val="36"/>
          <w:sz w:val="28"/>
          <w:szCs w:val="28"/>
          <w:lang w:eastAsia="it-IT"/>
        </w:rPr>
        <w:t>LÖSUNGSBLATT</w:t>
      </w:r>
      <w:r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 xml:space="preserve">   ARTIKEL  </w:t>
      </w:r>
    </w:p>
    <w:p w:rsidR="00CC6EBF" w:rsidRDefault="00CC6EBF" w:rsidP="00CC6EBF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eastAsia="it-IT"/>
        </w:rPr>
      </w:pPr>
      <w:proofErr w:type="spellStart"/>
      <w:r>
        <w:rPr>
          <w:rFonts w:eastAsia="Times New Roman" w:cstheme="minorHAnsi"/>
          <w:b/>
          <w:i/>
          <w:sz w:val="20"/>
          <w:szCs w:val="20"/>
          <w:lang w:eastAsia="it-IT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CC6EBF" w:rsidTr="00CC6EBF">
        <w:trPr>
          <w:trHeight w:val="480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a) In tedesco i nomi sono quasi sempre </w:t>
            </w:r>
            <w:r w:rsidR="00A45C63">
              <w:rPr>
                <w:rFonts w:eastAsia="Times New Roman" w:cstheme="minorHAnsi"/>
                <w:sz w:val="20"/>
                <w:szCs w:val="20"/>
                <w:lang w:eastAsia="it-IT"/>
              </w:rPr>
              <w:t>accompagnati dall'articolo. L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'articolo </w:t>
            </w:r>
            <w:r w:rsidR="00A45C63">
              <w:rPr>
                <w:rFonts w:eastAsia="Times New Roman" w:cstheme="minorHAnsi"/>
                <w:sz w:val="20"/>
                <w:szCs w:val="20"/>
                <w:lang w:eastAsia="it-IT"/>
              </w:rPr>
              <w:t>ha la funzione di indicare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il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genere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(maschile, femminile, neutro), il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numero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(singolare, plurale) e il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caso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="00A45C6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del sostantivo a cui si riferisce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(nominativo, accusativo, dativo, genitivo).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: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Der Mann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kommt aus Frankreich.                                  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L'uomo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viene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dalla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Francia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Die zwei Frauen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sprechen gut Deutsch.             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Le due donne parlano bene il tedesco.  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Das ist </w:t>
            </w:r>
            <w:r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das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Regal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von Carl.                                    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Questo è lo scaffale di Carl.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b)  Esistono articoli indeterminativi </w:t>
            </w:r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(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ein</w:t>
            </w:r>
            <w:proofErr w:type="spellEnd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eine</w:t>
            </w:r>
            <w:proofErr w:type="spellEnd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)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 ed articoli determinativi </w:t>
            </w:r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(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die</w:t>
            </w:r>
            <w:proofErr w:type="spellEnd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)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.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:</w:t>
            </w:r>
          </w:p>
          <w:p w:rsidR="00CC6EBF" w:rsidRDefault="00CC6EBF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>Das ist </w:t>
            </w:r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  <w:lang w:val="de-DE" w:eastAsia="it-IT"/>
              </w:rPr>
              <w:t>eine</w:t>
            </w: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 Uhr. </w:t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  <w:lang w:eastAsia="it-IT"/>
              </w:rPr>
              <w:t>Die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Uhr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modern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              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Questo è un orologio.  L'orologio è moderno.</w:t>
            </w:r>
          </w:p>
          <w:p w:rsidR="00CC6EBF" w:rsidRDefault="00CC6EBF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c)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Indefinitartikel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L'articolo indeterminativo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                                                    </w:t>
            </w:r>
          </w:p>
          <w:tbl>
            <w:tblPr>
              <w:tblStyle w:val="Grigliatabella"/>
              <w:tblW w:w="0" w:type="auto"/>
              <w:tblInd w:w="1526" w:type="dxa"/>
              <w:tblLook w:val="04A0"/>
            </w:tblPr>
            <w:tblGrid>
              <w:gridCol w:w="1276"/>
              <w:gridCol w:w="1559"/>
              <w:gridCol w:w="1134"/>
            </w:tblGrid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masc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fem.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neut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</w:tr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ein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</w:t>
                  </w:r>
                  <w:proofErr w:type="spellStart"/>
                  <w:r>
                    <w:rPr>
                      <w:sz w:val="20"/>
                      <w:szCs w:val="20"/>
                    </w:rPr>
                    <w:t>Tisch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eine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Lampe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ein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 </w:t>
                  </w:r>
                  <w:proofErr w:type="spellStart"/>
                  <w:r>
                    <w:rPr>
                      <w:sz w:val="20"/>
                      <w:szCs w:val="20"/>
                    </w:rPr>
                    <w:t>Bild</w:t>
                  </w:r>
                  <w:proofErr w:type="spellEnd"/>
                </w:p>
              </w:tc>
            </w:tr>
          </w:tbl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L'articolo indeterminativo si usa quando qualcosa viene menzionato per la prima volta,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per esempio: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Lena fragt: „ Ist das ein Kugelschreiber?“          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Lena chiede: “È una biro?” 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d)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Definitartikel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L'articolo determinativo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tbl>
            <w:tblPr>
              <w:tblStyle w:val="Grigliatabella"/>
              <w:tblW w:w="0" w:type="auto"/>
              <w:tblInd w:w="1526" w:type="dxa"/>
              <w:tblLook w:val="04A0"/>
            </w:tblPr>
            <w:tblGrid>
              <w:gridCol w:w="1276"/>
              <w:gridCol w:w="1559"/>
              <w:gridCol w:w="1134"/>
            </w:tblGrid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masc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fem.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neut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</w:tr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der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</w:t>
                  </w:r>
                  <w:proofErr w:type="spellStart"/>
                  <w:r>
                    <w:rPr>
                      <w:sz w:val="20"/>
                      <w:szCs w:val="20"/>
                    </w:rPr>
                    <w:t>Tisch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die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Lampe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das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 </w:t>
                  </w:r>
                  <w:proofErr w:type="spellStart"/>
                  <w:r>
                    <w:rPr>
                      <w:sz w:val="20"/>
                      <w:szCs w:val="20"/>
                    </w:rPr>
                    <w:t>Bild</w:t>
                  </w:r>
                  <w:proofErr w:type="spellEnd"/>
                </w:p>
              </w:tc>
            </w:tr>
          </w:tbl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L'articolo determinativo si usa quando qualcosa è specifico oppure </w:t>
            </w:r>
            <w:r w:rsidR="00A45C6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è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già stato menzionato, p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er esempio: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br/>
            </w:r>
            <w:proofErr w:type="spellStart"/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Tisch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von Ikea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sehr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schön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                     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Il tavolo di Ikea è molto bello.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e)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Negativartikel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L'articolo negativo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tbl>
            <w:tblPr>
              <w:tblStyle w:val="Grigliatabella"/>
              <w:tblW w:w="0" w:type="auto"/>
              <w:tblInd w:w="1526" w:type="dxa"/>
              <w:tblLook w:val="04A0"/>
            </w:tblPr>
            <w:tblGrid>
              <w:gridCol w:w="1276"/>
              <w:gridCol w:w="1559"/>
              <w:gridCol w:w="1134"/>
            </w:tblGrid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masc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fem.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neut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</w:tr>
            <w:tr w:rsidR="00CC6EBF"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kein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</w:t>
                  </w:r>
                  <w:proofErr w:type="spellStart"/>
                  <w:r>
                    <w:rPr>
                      <w:sz w:val="20"/>
                      <w:szCs w:val="20"/>
                    </w:rPr>
                    <w:t>Tisch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keine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sz w:val="20"/>
                      <w:szCs w:val="20"/>
                    </w:rPr>
                    <w:t>Lampe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C6EBF" w:rsidRDefault="00CC6EBF">
                  <w:pPr>
                    <w:spacing w:line="240" w:lineRule="auto"/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kein</w:t>
                  </w:r>
                  <w:proofErr w:type="spellEnd"/>
                  <w:r>
                    <w:rPr>
                      <w:b/>
                      <w:sz w:val="20"/>
                      <w:szCs w:val="20"/>
                    </w:rPr>
                    <w:t xml:space="preserve">     </w:t>
                  </w:r>
                  <w:proofErr w:type="spellStart"/>
                  <w:r>
                    <w:rPr>
                      <w:sz w:val="20"/>
                      <w:szCs w:val="20"/>
                    </w:rPr>
                    <w:t>Bild</w:t>
                  </w:r>
                  <w:proofErr w:type="spellEnd"/>
                </w:p>
              </w:tc>
            </w:tr>
          </w:tbl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sz w:val="20"/>
                <w:szCs w:val="20"/>
              </w:rPr>
              <w:t>L’articolo negativo si usa per negare nomi con l´articolo indeterminativo o senza articolo.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Si coniuga come gli articoli indeterminativi,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kein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Tisch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ein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Stuhl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Non è un tavolo, è una sedia.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iCs/>
                <w:sz w:val="20"/>
                <w:szCs w:val="20"/>
                <w:lang w:eastAsia="it-IT"/>
              </w:rPr>
              <w:t xml:space="preserve">Ma: </w:t>
            </w: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Tutti gli altri elementi della frase sono negati dall'avverbio </w:t>
            </w:r>
            <w:proofErr w:type="spellStart"/>
            <w:r>
              <w:rPr>
                <w:rFonts w:eastAsia="Times New Roman" w:cstheme="minorHAnsi"/>
                <w:b/>
                <w:iCs/>
                <w:sz w:val="20"/>
                <w:szCs w:val="20"/>
                <w:lang w:eastAsia="it-IT"/>
              </w:rPr>
              <w:t>nicht</w:t>
            </w:r>
            <w:proofErr w:type="spellEnd"/>
            <w:r>
              <w:rPr>
                <w:rFonts w:eastAsia="Times New Roman" w:cstheme="minorHAnsi"/>
                <w:b/>
                <w:iCs/>
                <w:sz w:val="20"/>
                <w:szCs w:val="20"/>
                <w:lang w:eastAsia="it-IT"/>
              </w:rPr>
              <w:t xml:space="preserve">,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 xml:space="preserve">Die Lampe ist </w:t>
            </w:r>
            <w:r>
              <w:rPr>
                <w:rFonts w:eastAsia="Times New Roman" w:cstheme="minorHAnsi"/>
                <w:b/>
                <w:iCs/>
                <w:sz w:val="20"/>
                <w:szCs w:val="20"/>
                <w:lang w:val="de-DE" w:eastAsia="it-IT"/>
              </w:rPr>
              <w:t xml:space="preserve">nicht </w:t>
            </w: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 xml:space="preserve">schön.  </w:t>
            </w:r>
            <w:r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La lampada non è bella.</w:t>
            </w: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            </w:t>
            </w: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>Lena wohnt</w:t>
            </w:r>
            <w:r>
              <w:rPr>
                <w:rFonts w:eastAsia="Times New Roman" w:cstheme="minorHAnsi"/>
                <w:b/>
                <w:iCs/>
                <w:sz w:val="20"/>
                <w:szCs w:val="20"/>
                <w:lang w:val="de-DE" w:eastAsia="it-IT"/>
              </w:rPr>
              <w:t xml:space="preserve"> nicht </w:t>
            </w: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 xml:space="preserve">in Berlin.  </w:t>
            </w:r>
            <w:r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Lena non vive a Berlino.</w:t>
            </w: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f)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Weglassen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des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Artikels</w:t>
            </w:r>
            <w:proofErr w:type="spellEnd"/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Omissione dell'articolo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Non si usa l'articolo con:</w:t>
            </w:r>
          </w:p>
          <w:p w:rsidR="00CC6EBF" w:rsidRDefault="00CC6EBF">
            <w:pPr>
              <w:shd w:val="clear" w:color="auto" w:fill="FFFFFF"/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- la maggior parte dei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nomi di nazioni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per esempio: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Wir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leben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in </w:t>
            </w:r>
            <w:proofErr w:type="spellStart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Österreich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  <w:r>
              <w:t xml:space="preserve">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Viviamo in Austria.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br/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- per le stagioni, i mesi, le professioni</w:t>
            </w:r>
            <w:r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 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Ich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bin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Ingenieur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         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Sono un ingegnere.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</w:p>
          <w:p w:rsidR="00CC6EBF" w:rsidRDefault="00CC6EBF">
            <w:pPr>
              <w:shd w:val="clear" w:color="auto" w:fill="FFFFFF"/>
              <w:spacing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- materiali/stoffe (per esempio, carta )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 </w:t>
            </w:r>
            <w:proofErr w:type="spellStart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Stuhl</w:t>
            </w:r>
            <w:proofErr w:type="spellEnd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ist</w:t>
            </w:r>
            <w:proofErr w:type="spellEnd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aus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bookmarkStart w:id="0" w:name="_GoBack"/>
            <w:bookmarkEnd w:id="0"/>
            <w:proofErr w:type="spellStart"/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Metall</w:t>
            </w:r>
            <w:proofErr w:type="spellEnd"/>
            <w:r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 xml:space="preserve">. 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La sedia è in metallo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.</w:t>
            </w:r>
            <w:r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br/>
            </w:r>
          </w:p>
        </w:tc>
      </w:tr>
    </w:tbl>
    <w:p w:rsidR="00CC6EBF" w:rsidRDefault="00CC6EBF" w:rsidP="00CC6EBF">
      <w:pPr>
        <w:pStyle w:val="Paragrafoelenco"/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eastAsia="it-IT"/>
        </w:rPr>
      </w:pPr>
    </w:p>
    <w:p w:rsidR="00CC6EBF" w:rsidRDefault="00CC6EBF" w:rsidP="00CC6EBF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Üben Sie. Setzen Sie den korrekten Artikel ein.</w:t>
      </w:r>
    </w:p>
    <w:p w:rsidR="00CC6EBF" w:rsidRDefault="00CC6EBF" w:rsidP="00CC6EBF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„Was ist das? Ist das </w:t>
      </w:r>
      <w:r w:rsidRPr="00CC6EBF">
        <w:rPr>
          <w:rFonts w:eastAsia="Times New Roman" w:cstheme="minorHAnsi"/>
          <w:b/>
          <w:i/>
          <w:sz w:val="20"/>
          <w:szCs w:val="20"/>
          <w:lang w:val="de-DE" w:eastAsia="it-IT"/>
        </w:rPr>
        <w:t>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Sessel?“ – „Nein, das ist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kein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Sessel. Das ist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Stuhl.“ </w:t>
      </w:r>
    </w:p>
    <w:p w:rsidR="00CC6EBF" w:rsidRDefault="00CC6EBF" w:rsidP="00CC6EBF">
      <w:pPr>
        <w:pStyle w:val="Paragrafoelenco"/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„Aha, </w:t>
      </w:r>
      <w:r>
        <w:rPr>
          <w:rFonts w:eastAsia="Times New Roman" w:cstheme="minorHAnsi"/>
          <w:b/>
          <w:sz w:val="20"/>
          <w:szCs w:val="20"/>
          <w:lang w:val="de-DE" w:eastAsia="it-IT"/>
        </w:rPr>
        <w:t>der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Stuhl ist wirklich sehr schön. Ist er teuer?“ – „Nein,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der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Stuhl ist nicht so teuer. Das ist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Sonderangebot.“ </w:t>
      </w:r>
    </w:p>
    <w:p w:rsidR="00CC6EBF" w:rsidRDefault="00CC6EBF" w:rsidP="00CC6EBF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„Franca, was macht dein Bruder beruflich? Ist er ____Arzt?“ – Nein, er ist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kein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Arzt, er ist Psychologe.“</w:t>
      </w:r>
    </w:p>
    <w:p w:rsidR="00CC6EBF" w:rsidRDefault="00CC6EBF" w:rsidP="00CC6EBF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„Sprichst du Deutsch?“ – Nein, ich spreche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kein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Deutsch.“</w:t>
      </w:r>
    </w:p>
    <w:p w:rsidR="00CC6EBF" w:rsidRDefault="00CC6EBF" w:rsidP="00CC6EBF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 Was machst du?“ – „Ich zeichne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ein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Auto.“ – „Oh, 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das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Auto ist sehr schön.“</w:t>
      </w:r>
    </w:p>
    <w:p w:rsidR="00CC6EBF" w:rsidRDefault="00CC6EBF" w:rsidP="00CC6EBF">
      <w:pPr>
        <w:pStyle w:val="Paragrafoelenco"/>
        <w:numPr>
          <w:ilvl w:val="0"/>
          <w:numId w:val="2"/>
        </w:numPr>
        <w:shd w:val="clear" w:color="auto" w:fill="FFFFFF"/>
        <w:spacing w:after="0" w:line="48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„Ist der Tisch aus _____ Holz?“  -  „Ja, er ist aus _______ Holz.“ </w:t>
      </w:r>
    </w:p>
    <w:p w:rsidR="003F208C" w:rsidRPr="00CC6EBF" w:rsidRDefault="00CC6EBF" w:rsidP="00CC6EBF">
      <w:pPr>
        <w:spacing w:after="0"/>
        <w:rPr>
          <w:i/>
          <w:sz w:val="20"/>
          <w:szCs w:val="20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A1  </w:t>
      </w:r>
    </w:p>
    <w:sectPr w:rsidR="003F208C" w:rsidRPr="00CC6EB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C7D3A"/>
    <w:multiLevelType w:val="hybridMultilevel"/>
    <w:tmpl w:val="6F7664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E72882"/>
    <w:multiLevelType w:val="hybridMultilevel"/>
    <w:tmpl w:val="54C43A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CC6EBF"/>
    <w:rsid w:val="003F208C"/>
    <w:rsid w:val="00435E8C"/>
    <w:rsid w:val="00A45C63"/>
    <w:rsid w:val="00CC6EBF"/>
    <w:rsid w:val="00CC6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C6EB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C6EBF"/>
    <w:pPr>
      <w:ind w:left="720"/>
      <w:contextualSpacing/>
    </w:pPr>
  </w:style>
  <w:style w:type="table" w:styleId="Grigliatabella">
    <w:name w:val="Table Grid"/>
    <w:basedOn w:val="Tabellanormale"/>
    <w:uiPriority w:val="59"/>
    <w:rsid w:val="00CC6E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78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460</Words>
  <Characters>2622</Characters>
  <Application>Microsoft Office Word</Application>
  <DocSecurity>0</DocSecurity>
  <Lines>21</Lines>
  <Paragraphs>6</Paragraphs>
  <ScaleCrop>false</ScaleCrop>
  <Company>HP</Company>
  <LinksUpToDate>false</LinksUpToDate>
  <CharactersWithSpaces>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2025-03-20T04:43:00Z</cp:lastPrinted>
  <dcterms:created xsi:type="dcterms:W3CDTF">2025-03-19T20:32:00Z</dcterms:created>
  <dcterms:modified xsi:type="dcterms:W3CDTF">2025-03-20T04:44:00Z</dcterms:modified>
</cp:coreProperties>
</file>