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5C4" w:rsidRDefault="00C455C4" w:rsidP="00C455C4">
      <w:pPr>
        <w:shd w:val="clear" w:color="auto" w:fill="FFFFFF"/>
        <w:spacing w:after="0" w:line="224" w:lineRule="atLeast"/>
        <w:ind w:left="708" w:firstLine="708"/>
        <w:rPr>
          <w:rFonts w:eastAsia="Times New Roman" w:cstheme="minorHAnsi"/>
          <w:b/>
          <w:color w:val="0A0A0A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0A0A0A"/>
          <w:sz w:val="28"/>
          <w:szCs w:val="28"/>
          <w:lang w:val="de-DE" w:eastAsia="it-IT"/>
        </w:rPr>
        <w:t>LÖSUNGSBLATT LV - INTERPRETATIONSANSÄTZE</w:t>
      </w:r>
    </w:p>
    <w:p w:rsidR="00C455C4" w:rsidRPr="007908F8" w:rsidRDefault="00C455C4" w:rsidP="00C455C4">
      <w:pPr>
        <w:spacing w:after="0"/>
        <w:ind w:left="708" w:firstLine="708"/>
        <w:rPr>
          <w:b/>
          <w:sz w:val="20"/>
          <w:szCs w:val="20"/>
          <w:lang w:val="de-DE"/>
        </w:rPr>
      </w:pPr>
      <w:r>
        <w:rPr>
          <w:b/>
          <w:sz w:val="28"/>
          <w:szCs w:val="28"/>
          <w:lang w:val="de-DE"/>
        </w:rPr>
        <w:t xml:space="preserve">             </w:t>
      </w:r>
      <w:r>
        <w:rPr>
          <w:b/>
          <w:sz w:val="20"/>
          <w:szCs w:val="20"/>
          <w:lang w:val="de-DE"/>
        </w:rPr>
        <w:t xml:space="preserve">         LITERATURPROJEKT KAFKA</w:t>
      </w:r>
    </w:p>
    <w:p w:rsidR="00C455C4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0A0A0A"/>
          <w:sz w:val="28"/>
          <w:szCs w:val="28"/>
          <w:lang w:val="de-DE" w:eastAsia="it-IT"/>
        </w:rPr>
        <w:t>________________________________________________________________</w:t>
      </w:r>
    </w:p>
    <w:p w:rsidR="00C455C4" w:rsidRPr="003F3BBF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8"/>
          <w:szCs w:val="28"/>
          <w:lang w:val="de-DE" w:eastAsia="it-IT"/>
        </w:rPr>
      </w:pPr>
    </w:p>
    <w:p w:rsidR="00C455C4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  <w:r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Zu Kafkas Werken gibt es zahlreiche Interpretations-Vorschläge, aber Kafkas Werke sind facettenreich und vielschichtig. Kafka lässt sich nicht „in eine Schublade stecken“. In der Tat warnt Kafka  selbst davor, seine Schriften zu sehr interpretieren zu wollen. 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  <w:r w:rsidRPr="00E84D65">
        <w:rPr>
          <w:rFonts w:cstheme="minorHAnsi"/>
          <w:i/>
          <w:color w:val="0A0A0A"/>
          <w:shd w:val="clear" w:color="auto" w:fill="FFFFFF"/>
          <w:lang w:val="de-DE"/>
        </w:rPr>
        <w:t>Im Folgenden einige Interpretationsansätze.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cstheme="minorHAnsi"/>
          <w:i/>
          <w:color w:val="0A0A0A"/>
          <w:shd w:val="clear" w:color="auto" w:fill="FFFFFF"/>
          <w:lang w:val="de-DE"/>
        </w:rPr>
      </w:pP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cstheme="minorHAnsi"/>
          <w:i/>
          <w:color w:val="0A0A0A"/>
          <w:shd w:val="clear" w:color="auto" w:fill="FFFFFF"/>
          <w:lang w:val="de-DE"/>
        </w:rPr>
      </w:pPr>
      <w:r w:rsidRPr="00E84D65">
        <w:rPr>
          <w:rFonts w:cstheme="minorHAnsi"/>
          <w:b/>
          <w:i/>
          <w:color w:val="0A0A0A"/>
          <w:shd w:val="clear" w:color="auto" w:fill="FFFFFF"/>
          <w:lang w:val="de-DE"/>
        </w:rPr>
        <w:t>Aufgabe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: Ordnen Sie den fünf Texten die passende </w:t>
      </w:r>
      <w:r w:rsidR="008F65D9">
        <w:rPr>
          <w:rFonts w:cstheme="minorHAnsi"/>
          <w:i/>
          <w:color w:val="0A0A0A"/>
          <w:shd w:val="clear" w:color="auto" w:fill="FFFFFF"/>
          <w:lang w:val="de-DE"/>
        </w:rPr>
        <w:t>Überschrift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 xml:space="preserve"> aus dem Kasten zu.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C455C4" w:rsidRPr="00E84D65" w:rsidTr="00094932">
        <w:tc>
          <w:tcPr>
            <w:tcW w:w="9778" w:type="dxa"/>
          </w:tcPr>
          <w:p w:rsidR="00C455C4" w:rsidRPr="00E84D65" w:rsidRDefault="00C455C4" w:rsidP="00094932">
            <w:pPr>
              <w:spacing w:line="224" w:lineRule="atLeast"/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</w:pPr>
            <w:r w:rsidRPr="00E84D65"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>Literarisch/ Struktureller Interpretationsansatz;  Psychoanalytischer Interpretationsansatz; Theologischer Interpretationsansatz;   Autobiografischer Interpretationsansatz;</w:t>
            </w:r>
          </w:p>
          <w:p w:rsidR="00C455C4" w:rsidRPr="00E84D65" w:rsidRDefault="00C455C4" w:rsidP="00094932">
            <w:pPr>
              <w:spacing w:line="224" w:lineRule="atLeast"/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</w:pPr>
            <w:r w:rsidRPr="00E84D65">
              <w:rPr>
                <w:rFonts w:cstheme="minorHAnsi"/>
                <w:i/>
                <w:color w:val="0A0A0A"/>
                <w:shd w:val="clear" w:color="auto" w:fill="FFFFFF"/>
                <w:lang w:val="de-DE"/>
              </w:rPr>
              <w:t>Gesellschaftskritischer Interpretationsansatz</w:t>
            </w:r>
          </w:p>
        </w:tc>
      </w:tr>
    </w:tbl>
    <w:p w:rsidR="00C455C4" w:rsidRPr="00E84D65" w:rsidRDefault="00C455C4" w:rsidP="00C455C4">
      <w:pPr>
        <w:shd w:val="clear" w:color="auto" w:fill="FFFFFF"/>
        <w:spacing w:after="0" w:line="224" w:lineRule="atLeast"/>
        <w:rPr>
          <w:rFonts w:cstheme="minorHAnsi"/>
          <w:i/>
          <w:color w:val="0A0A0A"/>
          <w:shd w:val="clear" w:color="auto" w:fill="FFFFFF"/>
          <w:lang w:val="de-DE"/>
        </w:rPr>
      </w:pPr>
    </w:p>
    <w:p w:rsidR="00C455C4" w:rsidRPr="00E84D65" w:rsidRDefault="00C455C4" w:rsidP="00C455C4">
      <w:pPr>
        <w:shd w:val="clear" w:color="auto" w:fill="FFFFFF"/>
        <w:spacing w:after="0" w:line="262" w:lineRule="atLeast"/>
        <w:rPr>
          <w:rFonts w:ascii="Arial" w:eastAsia="Times New Roman" w:hAnsi="Arial" w:cs="Arial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1 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>Autobiografischer Interpretationsansatz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 xml:space="preserve">Dieser Ansatz  </w:t>
      </w:r>
      <w:r>
        <w:rPr>
          <w:rFonts w:eastAsia="Times New Roman" w:cstheme="minorHAnsi"/>
          <w:color w:val="0A0A0A"/>
          <w:lang w:val="de-DE" w:eastAsia="it-IT"/>
        </w:rPr>
        <w:t>orientiert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sich </w:t>
      </w:r>
      <w:r>
        <w:rPr>
          <w:rFonts w:eastAsia="Times New Roman" w:cstheme="minorHAnsi"/>
          <w:color w:val="0A0A0A"/>
          <w:lang w:val="de-DE" w:eastAsia="it-IT"/>
        </w:rPr>
        <w:t>an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Kafkas </w:t>
      </w:r>
      <w:r>
        <w:rPr>
          <w:rFonts w:eastAsia="Times New Roman" w:cstheme="minorHAnsi"/>
          <w:color w:val="0A0A0A"/>
          <w:lang w:val="de-DE" w:eastAsia="it-IT"/>
        </w:rPr>
        <w:t>persönlichem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>
        <w:rPr>
          <w:rFonts w:eastAsia="Times New Roman" w:cstheme="minorHAnsi"/>
          <w:color w:val="0A0A0A"/>
          <w:lang w:val="de-DE" w:eastAsia="it-IT"/>
        </w:rPr>
        <w:t>Leben.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>a) Beziehungen:</w:t>
      </w:r>
      <w:r w:rsidRPr="00E84D65">
        <w:rPr>
          <w:rFonts w:eastAsia="Times New Roman" w:cstheme="minorHAnsi"/>
          <w:color w:val="0A0A0A"/>
          <w:lang w:val="de-DE" w:eastAsia="it-IT"/>
        </w:rPr>
        <w:t> Kafkas problematische Beziehung zu seinem autoritären Vater</w:t>
      </w:r>
      <w:r>
        <w:rPr>
          <w:rFonts w:eastAsia="Times New Roman" w:cstheme="minorHAnsi"/>
          <w:color w:val="0A0A0A"/>
          <w:lang w:val="de-DE" w:eastAsia="it-IT"/>
        </w:rPr>
        <w:t>, sein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>
        <w:rPr>
          <w:rFonts w:eastAsia="Times New Roman" w:cstheme="minorHAnsi"/>
          <w:color w:val="0A0A0A"/>
          <w:lang w:val="de-DE" w:eastAsia="it-IT"/>
        </w:rPr>
        <w:t>kompliziertes Verhältnis zu Frauen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und seine Krankheiten 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 xml:space="preserve">b) </w:t>
      </w:r>
      <w:r w:rsidRPr="00E84D65">
        <w:rPr>
          <w:rFonts w:eastAsia="Times New Roman" w:cstheme="minorHAnsi"/>
          <w:b/>
          <w:color w:val="0A0A0A"/>
          <w:lang w:val="de-DE" w:eastAsia="it-IT"/>
        </w:rPr>
        <w:t>Berufliche Tätigkeit als Jurist und Angestellter einer Versicherung</w:t>
      </w:r>
      <w:r w:rsidRPr="00E84D65">
        <w:rPr>
          <w:rFonts w:eastAsia="Times New Roman" w:cstheme="minorHAnsi"/>
          <w:color w:val="0A0A0A"/>
          <w:lang w:val="de-DE" w:eastAsia="it-IT"/>
        </w:rPr>
        <w:t>: Basis von Kafkas Präsentation von bürokratischen und anonymen Machtsystemen. </w:t>
      </w:r>
    </w:p>
    <w:p w:rsidR="00C455C4" w:rsidRPr="00E84D65" w:rsidRDefault="00C455C4" w:rsidP="00C455C4">
      <w:pPr>
        <w:shd w:val="clear" w:color="auto" w:fill="FFFFFF"/>
        <w:spacing w:after="0" w:line="240" w:lineRule="auto"/>
        <w:rPr>
          <w:rFonts w:eastAsia="Times New Roman" w:cstheme="minorHAnsi"/>
          <w:color w:val="0A0A0A"/>
          <w:lang w:val="de-DE" w:eastAsia="it-IT"/>
        </w:rPr>
      </w:pPr>
    </w:p>
    <w:p w:rsidR="00C455C4" w:rsidRPr="00E84D65" w:rsidRDefault="00C455C4" w:rsidP="00C455C4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2 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>Psychoanalytischer Interpretationsansatz</w:t>
      </w:r>
    </w:p>
    <w:p w:rsidR="00C455C4" w:rsidRPr="00E84D65" w:rsidRDefault="00C455C4" w:rsidP="00C455C4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 xml:space="preserve">Dieser Ansatz konzentriert sich auf die </w:t>
      </w:r>
      <w:r>
        <w:rPr>
          <w:rFonts w:eastAsia="Times New Roman" w:cstheme="minorHAnsi"/>
          <w:color w:val="0A0A0A"/>
          <w:lang w:val="de-DE" w:eastAsia="it-IT"/>
        </w:rPr>
        <w:t xml:space="preserve">inneren 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Konflikte </w:t>
      </w:r>
      <w:r>
        <w:rPr>
          <w:rFonts w:eastAsia="Times New Roman" w:cstheme="minorHAnsi"/>
          <w:color w:val="0A0A0A"/>
          <w:lang w:val="de-DE" w:eastAsia="it-IT"/>
        </w:rPr>
        <w:t>Kafkas und der Figuren in seinem Werk.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>a)Vater-Sohn-Konflikt:</w:t>
      </w:r>
      <w:r w:rsidRPr="00E84D65">
        <w:rPr>
          <w:rFonts w:eastAsia="Times New Roman" w:cstheme="minorHAnsi"/>
          <w:color w:val="0A0A0A"/>
          <w:lang w:val="de-DE" w:eastAsia="it-IT"/>
        </w:rPr>
        <w:t> Zum Beispiel  </w:t>
      </w:r>
      <w:r w:rsidRPr="00E84D65">
        <w:rPr>
          <w:rFonts w:eastAsia="Times New Roman" w:cstheme="minorHAnsi"/>
          <w:i/>
          <w:iCs/>
          <w:color w:val="0A0A0A"/>
          <w:lang w:val="de-DE" w:eastAsia="it-IT"/>
        </w:rPr>
        <w:t>Die Verwandlung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, als Spiegel von Kafkas problematischer Beziehung zu seinem dominanten Vater. 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>b)</w:t>
      </w: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>Angst und Isolation:</w:t>
      </w:r>
      <w:r w:rsidRPr="00E84D65">
        <w:rPr>
          <w:rFonts w:eastAsia="Times New Roman" w:cstheme="minorHAnsi"/>
          <w:color w:val="0A0A0A"/>
          <w:lang w:val="de-DE" w:eastAsia="it-IT"/>
        </w:rPr>
        <w:t> Die Angst und die tiefen Selbstzweifel vieler  Protagonisten als Ausdruck Kafkas eigener psychologischer Situation. 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</w:p>
    <w:p w:rsidR="00C455C4" w:rsidRPr="00E84D65" w:rsidRDefault="00C455C4" w:rsidP="00C455C4">
      <w:pPr>
        <w:shd w:val="clear" w:color="auto" w:fill="FFFFFF"/>
        <w:spacing w:after="0" w:line="262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3 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>Gesellschaftskritischer Interpretationsansatz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>Dieser Ansatz interpretiert Kafkas Werke als Kritik an modernen Machtstrukturen und der bürokratischen Gesellschaft. 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>a) Übermächtige Bürokratie: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 Das Individuum im Konflikt mit einer dominanten und übermächtigen Bürokratie, die nach eigenen, unlogischen Gesetzen handelt. </w:t>
      </w:r>
    </w:p>
    <w:p w:rsidR="00C455C4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>b) Machtverhältnisse:</w:t>
      </w:r>
      <w:r w:rsidRPr="00E84D65">
        <w:rPr>
          <w:rFonts w:eastAsia="Times New Roman" w:cstheme="minorHAnsi"/>
          <w:color w:val="0A0A0A"/>
          <w:lang w:val="de-DE" w:eastAsia="it-IT"/>
        </w:rPr>
        <w:t> Die Machtlosigkeit des In</w:t>
      </w:r>
      <w:r>
        <w:rPr>
          <w:rFonts w:eastAsia="Times New Roman" w:cstheme="minorHAnsi"/>
          <w:color w:val="0A0A0A"/>
          <w:lang w:val="de-DE" w:eastAsia="it-IT"/>
        </w:rPr>
        <w:t xml:space="preserve">dividuums gegenüber kollektiven, 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nicht transparenten </w:t>
      </w:r>
      <w:r>
        <w:rPr>
          <w:rFonts w:eastAsia="Times New Roman" w:cstheme="minorHAnsi"/>
          <w:color w:val="0A0A0A"/>
          <w:lang w:val="de-DE" w:eastAsia="it-IT"/>
        </w:rPr>
        <w:t>Mächten und Autoritäten</w:t>
      </w:r>
      <w:r w:rsidRPr="00E84D65">
        <w:rPr>
          <w:rFonts w:eastAsia="Times New Roman" w:cstheme="minorHAnsi"/>
          <w:color w:val="0A0A0A"/>
          <w:lang w:val="de-DE" w:eastAsia="it-IT"/>
        </w:rPr>
        <w:t>. </w:t>
      </w:r>
    </w:p>
    <w:p w:rsidR="00C455C4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</w:p>
    <w:p w:rsidR="00C455C4" w:rsidRPr="00E84D65" w:rsidRDefault="00C455C4" w:rsidP="00C455C4">
      <w:pPr>
        <w:shd w:val="clear" w:color="auto" w:fill="FFFFFF"/>
        <w:spacing w:after="0" w:line="262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>
        <w:rPr>
          <w:rFonts w:eastAsia="Times New Roman" w:cstheme="minorHAnsi"/>
          <w:b/>
          <w:bCs/>
          <w:color w:val="0A0A0A"/>
          <w:lang w:val="de-DE" w:eastAsia="it-IT"/>
        </w:rPr>
        <w:t>4</w:t>
      </w: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 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>Theologischer Interpretationsansatz</w:t>
      </w:r>
    </w:p>
    <w:p w:rsidR="00C455C4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 xml:space="preserve">Dieser Ansatz </w:t>
      </w:r>
      <w:r>
        <w:rPr>
          <w:rFonts w:eastAsia="Times New Roman" w:cstheme="minorHAnsi"/>
          <w:color w:val="0A0A0A"/>
          <w:lang w:val="de-DE" w:eastAsia="it-IT"/>
        </w:rPr>
        <w:t xml:space="preserve">konzentriert sich auf religiöse und spirituelle Aspekte in Kafkas Werken.  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>
        <w:rPr>
          <w:rFonts w:eastAsia="Times New Roman" w:cstheme="minorHAnsi"/>
          <w:color w:val="0A0A0A"/>
          <w:lang w:val="de-DE" w:eastAsia="it-IT"/>
        </w:rPr>
        <w:t>a) Die Suche von Kafkas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P</w:t>
      </w:r>
      <w:r>
        <w:rPr>
          <w:rFonts w:eastAsia="Times New Roman" w:cstheme="minorHAnsi"/>
          <w:color w:val="0A0A0A"/>
          <w:lang w:val="de-DE" w:eastAsia="it-IT"/>
        </w:rPr>
        <w:t>rotagonisten nach Gerechtigkeit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  <w:r>
        <w:rPr>
          <w:rFonts w:eastAsia="Times New Roman" w:cstheme="minorHAnsi"/>
          <w:color w:val="0A0A0A"/>
          <w:lang w:val="de-DE" w:eastAsia="it-IT"/>
        </w:rPr>
        <w:t>wird als Suche nach Gott interpretiert.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</w:p>
    <w:p w:rsidR="00C455C4" w:rsidRDefault="00C455C4" w:rsidP="00C455C4">
      <w:pPr>
        <w:shd w:val="clear" w:color="auto" w:fill="FFFFFF"/>
        <w:spacing w:after="150" w:line="224" w:lineRule="atLeast"/>
        <w:rPr>
          <w:rFonts w:cstheme="minorHAnsi"/>
          <w:color w:val="0A0A0A"/>
          <w:shd w:val="clear" w:color="auto" w:fill="FFFFFF"/>
          <w:lang w:val="de-DE"/>
        </w:rPr>
      </w:pPr>
      <w:r>
        <w:rPr>
          <w:rFonts w:cstheme="minorHAnsi"/>
          <w:color w:val="0A0A0A"/>
          <w:shd w:val="clear" w:color="auto" w:fill="FFFFFF"/>
          <w:lang w:val="de-DE"/>
        </w:rPr>
        <w:t xml:space="preserve">b) </w:t>
      </w:r>
      <w:r w:rsidRPr="002C1375">
        <w:rPr>
          <w:rFonts w:cstheme="minorHAnsi"/>
          <w:color w:val="0A0A0A"/>
          <w:shd w:val="clear" w:color="auto" w:fill="FFFFFF"/>
          <w:lang w:val="de-DE"/>
        </w:rPr>
        <w:t>Das Göttliche</w:t>
      </w:r>
      <w:r>
        <w:rPr>
          <w:rFonts w:cstheme="minorHAnsi"/>
          <w:b/>
          <w:color w:val="0A0A0A"/>
          <w:shd w:val="clear" w:color="auto" w:fill="FFFFFF"/>
          <w:lang w:val="de-DE"/>
        </w:rPr>
        <w:t xml:space="preserve"> </w:t>
      </w:r>
      <w:r>
        <w:rPr>
          <w:rFonts w:cstheme="minorHAnsi"/>
          <w:color w:val="0A0A0A"/>
          <w:shd w:val="clear" w:color="auto" w:fill="FFFFFF"/>
          <w:lang w:val="de-DE"/>
        </w:rPr>
        <w:t>ist dem</w:t>
      </w:r>
      <w:r w:rsidRPr="00700A1E">
        <w:rPr>
          <w:rFonts w:cstheme="minorHAnsi"/>
          <w:color w:val="0A0A0A"/>
          <w:shd w:val="clear" w:color="auto" w:fill="FFFFFF"/>
          <w:lang w:val="de-DE"/>
        </w:rPr>
        <w:t xml:space="preserve"> Menschen </w:t>
      </w:r>
      <w:r>
        <w:rPr>
          <w:rFonts w:cstheme="minorHAnsi"/>
          <w:color w:val="0A0A0A"/>
          <w:shd w:val="clear" w:color="auto" w:fill="FFFFFF"/>
          <w:lang w:val="de-DE"/>
        </w:rPr>
        <w:t xml:space="preserve">aufgrund seiner </w:t>
      </w:r>
      <w:r w:rsidRPr="00700A1E">
        <w:rPr>
          <w:rFonts w:cstheme="minorHAnsi"/>
          <w:color w:val="0A0A0A"/>
          <w:shd w:val="clear" w:color="auto" w:fill="FFFFFF"/>
          <w:lang w:val="de-DE"/>
        </w:rPr>
        <w:t>menschliche</w:t>
      </w:r>
      <w:r>
        <w:rPr>
          <w:rFonts w:cstheme="minorHAnsi"/>
          <w:color w:val="0A0A0A"/>
          <w:shd w:val="clear" w:color="auto" w:fill="FFFFFF"/>
          <w:lang w:val="de-DE"/>
        </w:rPr>
        <w:t>n</w:t>
      </w:r>
      <w:r w:rsidRPr="00700A1E">
        <w:rPr>
          <w:rFonts w:cstheme="minorHAnsi"/>
          <w:color w:val="0A0A0A"/>
          <w:shd w:val="clear" w:color="auto" w:fill="FFFFFF"/>
          <w:lang w:val="de-DE"/>
        </w:rPr>
        <w:t xml:space="preserve"> Schwächen</w:t>
      </w:r>
      <w:r>
        <w:rPr>
          <w:rFonts w:cstheme="minorHAnsi"/>
          <w:color w:val="0A0A0A"/>
          <w:shd w:val="clear" w:color="auto" w:fill="FFFFFF"/>
          <w:lang w:val="de-DE"/>
        </w:rPr>
        <w:t xml:space="preserve"> und Limitierungen</w:t>
      </w:r>
      <w:r w:rsidRPr="00700A1E">
        <w:rPr>
          <w:rFonts w:cstheme="minorHAnsi"/>
          <w:color w:val="0A0A0A"/>
          <w:shd w:val="clear" w:color="auto" w:fill="FFFFFF"/>
          <w:lang w:val="de-DE"/>
        </w:rPr>
        <w:t xml:space="preserve"> verborgen</w:t>
      </w:r>
      <w:r>
        <w:rPr>
          <w:rFonts w:cstheme="minorHAnsi"/>
          <w:color w:val="0A0A0A"/>
          <w:shd w:val="clear" w:color="auto" w:fill="FFFFFF"/>
          <w:lang w:val="de-DE"/>
        </w:rPr>
        <w:t>.</w:t>
      </w:r>
    </w:p>
    <w:p w:rsidR="00C455C4" w:rsidRPr="00E84D65" w:rsidRDefault="00C455C4" w:rsidP="00C455C4">
      <w:pPr>
        <w:shd w:val="clear" w:color="auto" w:fill="FFFFFF"/>
        <w:spacing w:after="0" w:line="262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>
        <w:rPr>
          <w:rFonts w:eastAsia="Times New Roman" w:cstheme="minorHAnsi"/>
          <w:b/>
          <w:bCs/>
          <w:color w:val="0A0A0A"/>
          <w:lang w:val="de-DE" w:eastAsia="it-IT"/>
        </w:rPr>
        <w:t>5</w:t>
      </w: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 </w:t>
      </w:r>
      <w:r w:rsidRPr="00E84D65">
        <w:rPr>
          <w:rFonts w:cstheme="minorHAnsi"/>
          <w:i/>
          <w:color w:val="0A0A0A"/>
          <w:shd w:val="clear" w:color="auto" w:fill="FFFFFF"/>
          <w:lang w:val="de-DE"/>
        </w:rPr>
        <w:t>Literarisch/ Struktureller Interpretationsansatz</w:t>
      </w:r>
    </w:p>
    <w:p w:rsidR="00C455C4" w:rsidRPr="00E84D65" w:rsidRDefault="00C455C4" w:rsidP="00C455C4">
      <w:pPr>
        <w:shd w:val="clear" w:color="auto" w:fill="FFFFFF"/>
        <w:spacing w:after="0" w:line="262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>Dieser Ansatz konzentriert sich auf formale und sprachliche Aspekte.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>a) Sprache :</w:t>
      </w:r>
      <w:r w:rsidRPr="00E84D65">
        <w:rPr>
          <w:rFonts w:eastAsia="Times New Roman" w:cstheme="minorHAnsi"/>
          <w:color w:val="0A0A0A"/>
          <w:lang w:val="de-DE" w:eastAsia="it-IT"/>
        </w:rPr>
        <w:t> </w:t>
      </w:r>
      <w:r w:rsidRPr="00E84D65">
        <w:rPr>
          <w:rFonts w:cstheme="minorHAnsi"/>
          <w:lang w:val="de-DE"/>
        </w:rPr>
        <w:t xml:space="preserve">Kafkas Erzählstil ist  charakterisiert durch </w:t>
      </w:r>
      <w:r w:rsidRPr="008856C6">
        <w:rPr>
          <w:rFonts w:cstheme="minorHAnsi"/>
          <w:lang w:val="de-DE"/>
        </w:rPr>
        <w:t>eine</w:t>
      </w:r>
      <w:r w:rsidRPr="008856C6">
        <w:rPr>
          <w:rFonts w:cstheme="minorHAnsi"/>
          <w:b/>
          <w:lang w:val="de-DE"/>
        </w:rPr>
        <w:t> </w:t>
      </w:r>
      <w:r w:rsidRPr="008856C6">
        <w:rPr>
          <w:rStyle w:val="Enfasigrassetto"/>
          <w:rFonts w:cstheme="minorHAnsi"/>
          <w:lang w:val="de-DE"/>
        </w:rPr>
        <w:t>sachliche und präzise Sprache</w:t>
      </w:r>
      <w:r w:rsidRPr="00E84D65">
        <w:rPr>
          <w:rFonts w:cstheme="minorHAnsi"/>
          <w:lang w:val="de-DE"/>
        </w:rPr>
        <w:t> </w:t>
      </w:r>
      <w:r>
        <w:rPr>
          <w:rFonts w:cstheme="minorHAnsi"/>
          <w:lang w:val="de-DE"/>
        </w:rPr>
        <w:t>und</w:t>
      </w:r>
      <w:r w:rsidRPr="00E84D65">
        <w:rPr>
          <w:rFonts w:cstheme="minorHAnsi"/>
          <w:lang w:val="de-DE"/>
        </w:rPr>
        <w:t xml:space="preserve"> bildet einen starken Kontrast zu den oft absurden und beunruhigenden Inhalten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. 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b) Inhalt und Struktur: </w:t>
      </w:r>
      <w:r>
        <w:rPr>
          <w:rFonts w:eastAsia="Times New Roman" w:cstheme="minorHAnsi"/>
          <w:bCs/>
          <w:color w:val="0A0A0A"/>
          <w:lang w:val="de-DE" w:eastAsia="it-IT"/>
        </w:rPr>
        <w:t>F</w:t>
      </w:r>
      <w:r w:rsidRPr="00E84D65">
        <w:rPr>
          <w:rFonts w:eastAsia="Times New Roman" w:cstheme="minorHAnsi"/>
          <w:bCs/>
          <w:color w:val="0A0A0A"/>
          <w:lang w:val="de-DE" w:eastAsia="it-IT"/>
        </w:rPr>
        <w:t>ließender Übergang</w:t>
      </w: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 xml:space="preserve"> </w:t>
      </w:r>
      <w:r w:rsidRPr="00E84D65">
        <w:rPr>
          <w:rFonts w:eastAsia="Times New Roman" w:cstheme="minorHAnsi"/>
          <w:bCs/>
          <w:color w:val="0A0A0A"/>
          <w:lang w:val="de-DE" w:eastAsia="it-IT"/>
        </w:rPr>
        <w:t>von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 Innen- und Außenwelt; </w:t>
      </w:r>
    </w:p>
    <w:p w:rsidR="00C455C4" w:rsidRPr="00E84D65" w:rsidRDefault="00C455C4" w:rsidP="00C455C4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color w:val="0A0A0A"/>
          <w:lang w:val="de-DE" w:eastAsia="it-IT"/>
        </w:rPr>
        <w:t>Wirklichkeit und Fantasie verschmelzen oft ohne klare Grenzen.</w:t>
      </w:r>
    </w:p>
    <w:p w:rsidR="00C455C4" w:rsidRPr="00E84D65" w:rsidRDefault="00C455C4" w:rsidP="00C455C4">
      <w:pPr>
        <w:shd w:val="clear" w:color="auto" w:fill="FFFFFF"/>
        <w:spacing w:after="150" w:line="224" w:lineRule="atLeast"/>
        <w:rPr>
          <w:rFonts w:eastAsia="Times New Roman" w:cstheme="minorHAnsi"/>
          <w:color w:val="0A0A0A"/>
          <w:lang w:val="de-DE" w:eastAsia="it-IT"/>
        </w:rPr>
      </w:pPr>
      <w:r w:rsidRPr="00E84D65">
        <w:rPr>
          <w:rFonts w:eastAsia="Times New Roman" w:cstheme="minorHAnsi"/>
          <w:bCs/>
          <w:color w:val="0A0A0A"/>
          <w:lang w:val="de-DE" w:eastAsia="it-IT"/>
        </w:rPr>
        <w:t>Unmittelbarer Einstieg</w:t>
      </w:r>
      <w:r w:rsidRPr="00E84D65">
        <w:rPr>
          <w:rFonts w:eastAsia="Times New Roman" w:cstheme="minorHAnsi"/>
          <w:b/>
          <w:bCs/>
          <w:color w:val="0A0A0A"/>
          <w:lang w:val="de-DE" w:eastAsia="it-IT"/>
        </w:rPr>
        <w:t>: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 Oft beginnt die Erzählung mit einem </w:t>
      </w:r>
      <w:proofErr w:type="spellStart"/>
      <w:r w:rsidRPr="00E84D65">
        <w:rPr>
          <w:rFonts w:eastAsia="Times New Roman" w:cstheme="minorHAnsi"/>
          <w:color w:val="0A0A0A"/>
          <w:lang w:val="de-DE" w:eastAsia="it-IT"/>
        </w:rPr>
        <w:t>Schockmoment</w:t>
      </w:r>
      <w:proofErr w:type="spellEnd"/>
      <w:r w:rsidRPr="00E84D65">
        <w:rPr>
          <w:rFonts w:eastAsia="Times New Roman" w:cstheme="minorHAnsi"/>
          <w:color w:val="0A0A0A"/>
          <w:lang w:val="de-DE" w:eastAsia="it-IT"/>
        </w:rPr>
        <w:t xml:space="preserve"> o</w:t>
      </w:r>
      <w:r>
        <w:rPr>
          <w:rFonts w:eastAsia="Times New Roman" w:cstheme="minorHAnsi"/>
          <w:color w:val="0A0A0A"/>
          <w:lang w:val="de-DE" w:eastAsia="it-IT"/>
        </w:rPr>
        <w:t>der einem rätselhaften Ereignis.</w:t>
      </w:r>
      <w:r w:rsidRPr="00E84D65">
        <w:rPr>
          <w:rFonts w:eastAsia="Times New Roman" w:cstheme="minorHAnsi"/>
          <w:color w:val="0A0A0A"/>
          <w:lang w:val="de-DE" w:eastAsia="it-IT"/>
        </w:rPr>
        <w:t xml:space="preserve"> </w:t>
      </w:r>
    </w:p>
    <w:p w:rsidR="00C455C4" w:rsidRDefault="00C455C4" w:rsidP="00C455C4">
      <w:pPr>
        <w:shd w:val="clear" w:color="auto" w:fill="FFFFFF"/>
        <w:spacing w:after="150" w:line="224" w:lineRule="atLeast"/>
        <w:rPr>
          <w:rFonts w:eastAsia="Times New Roman" w:cstheme="minorHAnsi"/>
          <w:color w:val="0A0A0A"/>
          <w:sz w:val="18"/>
          <w:szCs w:val="18"/>
          <w:lang w:val="de-DE" w:eastAsia="it-IT"/>
        </w:rPr>
      </w:pPr>
    </w:p>
    <w:p w:rsidR="003F208C" w:rsidRPr="00C455C4" w:rsidRDefault="00C455C4" w:rsidP="00C455C4">
      <w:pPr>
        <w:shd w:val="clear" w:color="auto" w:fill="FFFFFF"/>
        <w:spacing w:after="150" w:line="224" w:lineRule="atLeast"/>
        <w:rPr>
          <w:rFonts w:eastAsia="Times New Roman" w:cstheme="minorHAnsi"/>
          <w:color w:val="0A0A0A"/>
          <w:sz w:val="18"/>
          <w:szCs w:val="18"/>
          <w:lang w:val="de-DE" w:eastAsia="it-IT"/>
        </w:rPr>
      </w:pPr>
      <w:r>
        <w:rPr>
          <w:rFonts w:eastAsia="Times New Roman" w:cstheme="minorHAnsi"/>
          <w:color w:val="0A0A0A"/>
          <w:sz w:val="18"/>
          <w:szCs w:val="18"/>
          <w:lang w:val="de-DE" w:eastAsia="it-IT"/>
        </w:rPr>
        <w:t xml:space="preserve">Elke </w:t>
      </w:r>
      <w:proofErr w:type="spellStart"/>
      <w:r>
        <w:rPr>
          <w:rFonts w:eastAsia="Times New Roman" w:cstheme="minorHAnsi"/>
          <w:color w:val="0A0A0A"/>
          <w:sz w:val="18"/>
          <w:szCs w:val="18"/>
          <w:lang w:val="de-DE" w:eastAsia="it-IT"/>
        </w:rPr>
        <w:t>Vaih</w:t>
      </w:r>
      <w:proofErr w:type="spellEnd"/>
      <w:r>
        <w:rPr>
          <w:rFonts w:eastAsia="Times New Roman" w:cstheme="minorHAnsi"/>
          <w:color w:val="0A0A0A"/>
          <w:sz w:val="18"/>
          <w:szCs w:val="18"/>
          <w:lang w:val="de-DE" w:eastAsia="it-IT"/>
        </w:rPr>
        <w:t xml:space="preserve"> Unterrichtsmaterialien B1+</w:t>
      </w:r>
    </w:p>
    <w:sectPr w:rsidR="003F208C" w:rsidRPr="00C455C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C455C4"/>
    <w:rsid w:val="003F208C"/>
    <w:rsid w:val="005E259F"/>
    <w:rsid w:val="008F65D9"/>
    <w:rsid w:val="00BA7E4F"/>
    <w:rsid w:val="00C45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55C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C455C4"/>
    <w:rPr>
      <w:b/>
      <w:bCs/>
    </w:rPr>
  </w:style>
  <w:style w:type="table" w:styleId="Grigliatabella">
    <w:name w:val="Table Grid"/>
    <w:basedOn w:val="Tabellanormale"/>
    <w:uiPriority w:val="39"/>
    <w:rsid w:val="00C455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435</Words>
  <Characters>2485</Characters>
  <Application>Microsoft Office Word</Application>
  <DocSecurity>0</DocSecurity>
  <Lines>20</Lines>
  <Paragraphs>5</Paragraphs>
  <ScaleCrop>false</ScaleCrop>
  <Company>HP</Company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2025-10-30T10:32:00Z</dcterms:created>
  <dcterms:modified xsi:type="dcterms:W3CDTF">2025-10-30T10:50:00Z</dcterms:modified>
</cp:coreProperties>
</file>